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84E63D" w14:textId="275E5F44" w:rsidR="004A2CA9" w:rsidRPr="004A2CA9" w:rsidRDefault="00FC1021" w:rsidP="004A2CA9">
      <w:pPr>
        <w:widowControl w:val="0"/>
        <w:autoSpaceDE w:val="0"/>
        <w:autoSpaceDN w:val="0"/>
        <w:adjustRightInd w:val="0"/>
        <w:spacing w:after="0" w:line="240" w:lineRule="auto"/>
        <w:jc w:val="both"/>
        <w:rPr>
          <w:rFonts w:ascii="Calibri" w:hAnsi="Calibri" w:cs="Calibri"/>
        </w:rPr>
      </w:pPr>
      <w:r w:rsidRPr="004A2CA9">
        <w:rPr>
          <w:rFonts w:ascii="Calibri" w:hAnsi="Calibri" w:cs="Calibri"/>
        </w:rPr>
        <w:t xml:space="preserve">As digital technologies assume ever more decision-making power in our homes, schools, and workplaces, learning to program early is no longer an elective skill but a prerequisite for agency. Coding builds the habits of abstraction, logical sequencing, and systematic debugging that underlie organised thinking and creative problem-solving; Seymour </w:t>
      </w:r>
      <w:proofErr w:type="spellStart"/>
      <w:r w:rsidRPr="004A2CA9">
        <w:rPr>
          <w:rFonts w:ascii="Calibri" w:hAnsi="Calibri" w:cs="Calibri"/>
        </w:rPr>
        <w:t>Papert</w:t>
      </w:r>
      <w:proofErr w:type="spellEnd"/>
      <w:r w:rsidRPr="004A2CA9">
        <w:rPr>
          <w:rFonts w:ascii="Calibri" w:hAnsi="Calibri" w:cs="Calibri"/>
        </w:rPr>
        <w:t xml:space="preserve"> famously argued that writing programs lets children “think about thinking itself,” cultivating articulation, persistence, collaboration, and other life-wide competencies </w:t>
      </w:r>
      <w:r w:rsidRPr="004A2CA9">
        <w:rPr>
          <w:rFonts w:ascii="Calibri" w:hAnsi="Calibri" w:cs="Calibri"/>
        </w:rPr>
        <w:fldChar w:fldCharType="begin" w:fldLock="1"/>
      </w:r>
      <w:r w:rsidRPr="004A2CA9">
        <w:rPr>
          <w:rFonts w:ascii="Calibri" w:hAnsi="Calibri" w:cs="Calibri"/>
        </w:rPr>
        <w:instrText>ADDIN CSL_CITATION {"citationItems":[{"id":"ITEM-1","itemData":{"ISBN":"0465046274","abstract":"The Gears of My ChildhoodBefore I was two years old I had developed an intense involvement with automobiles. The names of car parts made up a very substantial portion of my vocabulary: I was particularly proud of knowing about the parts of the transmission system, the gearbox, and most especially the differential. It was, of course, many years later before I understood how gears work; but once I did, playing with gears became a favorite pastime. I loved rotating circular objects against one another in gearlike motions and, naturally, my first \"erector set\" project was a crude gear system.I became adept at turning wheels in my head and at making chains of cause and effect: \"This one turns this way so that must turn that way so . . . \" I found particular pleasure in such systems as the differential gear, which does not follow a simple linear chain of causality since the motion in the transmission shaft can be distributed in many different ways to the two wheels depending on what resistance they encounter. I remember quite vividly my excitement at discovering that a system could be lawful and completely comprehensible without being rigidly deterministic.I believe that working with differentials did more for my mathematical development than anything I was taught in elementary school. Gears, serving as models, carried many otherwise abstract ideas into my head. I clearly remember two examples from school math. I saw multiplication tables as gears, and my first brush with equations in two variables (e.g., 3x + 4y = 10) immediately evoked the differential. By the time I had made a mental gear model of the relation between x and y, figuring how many teeth each gear needed, the equation had become a comfortable friend.Many years later when I read Piaget this incident served me as a model for his notion of assimilation, except I was immediately struck by the fact that his discussion does not do full justice to his own idea. He talks almost entirely about cognitive aspects of assimilation. But there is also an affective component. Assimilating equations to gears certainly is a powerful way to bring old knowledge to bear on a new object. But it does more as well. I am sure that such assimilations helped to endow mathematics, for me, with a positive affective tone that can be traced back to my infantile experiences with cars. I believe Piaget really agrees. As I came to know him personally I understood that his neglect of the affective comes more from a modest sense…","author":[{"dropping-particle":"","family":"Papert","given":"Seymour","non-dropping-particle":"","parse-names":false,"suffix":""}],"id":"ITEM-1","issued":{"date-parts":[["1980"]]},"publisher":"Basic Books, Inc.","publisher-place":"USA","title":"Mindstorms: children, computers, and powerful ideas","type":"book"},"uris":["http://www.mendeley.com/documents/?uuid=446be4a5-4792-4fb5-be51-7656a6db2ffb"]}],"mendeley":{"formattedCitation":"[1]","plainTextFormattedCitation":"[1]","previouslyFormattedCitation":"[1]"},"properties":{"noteIndex":0},"schema":"https://github.com/citation-style-language/schema/raw/master/csl-citation.json"}</w:instrText>
      </w:r>
      <w:r w:rsidRPr="004A2CA9">
        <w:rPr>
          <w:rFonts w:ascii="Calibri" w:hAnsi="Calibri" w:cs="Calibri"/>
        </w:rPr>
        <w:fldChar w:fldCharType="separate"/>
      </w:r>
      <w:r w:rsidRPr="004A2CA9">
        <w:rPr>
          <w:rFonts w:ascii="Calibri" w:hAnsi="Calibri" w:cs="Calibri"/>
          <w:noProof/>
        </w:rPr>
        <w:t>[1]</w:t>
      </w:r>
      <w:r w:rsidRPr="004A2CA9">
        <w:rPr>
          <w:rFonts w:ascii="Calibri" w:hAnsi="Calibri" w:cs="Calibri"/>
        </w:rPr>
        <w:fldChar w:fldCharType="end"/>
      </w:r>
      <w:r w:rsidRPr="004A2CA9">
        <w:rPr>
          <w:rFonts w:ascii="Calibri" w:hAnsi="Calibri" w:cs="Calibri"/>
        </w:rPr>
        <w:t>.</w:t>
      </w:r>
      <w:r w:rsidR="004A4A33" w:rsidRPr="004A2CA9">
        <w:rPr>
          <w:rFonts w:ascii="Calibri" w:hAnsi="Calibri" w:cs="Calibri"/>
        </w:rPr>
        <w:t xml:space="preserve"> </w:t>
      </w:r>
      <w:r w:rsidRPr="004A2CA9">
        <w:rPr>
          <w:rFonts w:ascii="Calibri" w:hAnsi="Calibri" w:cs="Calibri"/>
        </w:rPr>
        <w:t xml:space="preserve">Contemporary studies confirm that even pre-schoolers who tinker with tangible or screen-based code exhibit stronger reasoning and resilience when facing novel tasks </w:t>
      </w:r>
      <w:r w:rsidRPr="004A2CA9">
        <w:rPr>
          <w:rFonts w:ascii="Calibri" w:hAnsi="Calibri" w:cs="Calibri"/>
        </w:rPr>
        <w:fldChar w:fldCharType="begin" w:fldLock="1"/>
      </w:r>
      <w:r w:rsidR="00657171" w:rsidRPr="004A2CA9">
        <w:rPr>
          <w:rFonts w:ascii="Calibri" w:hAnsi="Calibri" w:cs="Calibri"/>
        </w:rPr>
        <w:instrText>ADDIN CSL_CITATION {"citationItems":[{"id":"ITEM-1","itemData":{"DOI":"https://doi.org/10.1016/j.ecresq.2023.05.014","ISSN":"0885-2006","abstract":"The present study investigates the debugging process of 526 children in preschool (4–6 aged) when programming a tangible robot. When a child is involved in programming, it is needed to identify and correct errors, or in other words, debug a program. Debugging is a high-level thinking skill and is an essential component closely related to developing Computational Thinking in early childhood education. Though the debugging process is a cognitive function in programming investigated by many researchers in recent decades, most studies are conducted either in primary, secondary education, or higher education concerning beginners or experts in programming. Very few reviews, and some focus on preschool education. Our study set out the following objectives: 1) How do children identify the existence of error and locate it? 2) What types of errors emerge when coding? 3) What type of error is complex for novice programmers? 4) What strategies are developed by novice programmers to debug effectively? and 5) What types of knowledge do novice programmers construct by debugging the tangible robot Bee-Bot? The study follows an iterative model of a design-based research approach. It uses multiple case studies to collect qualitative and quantitative data. The programming intervention was implemented by 30 educators in their classrooms and was based on a scenario-based teaching design. The debugging process was analysed using Klahr &amp; Craven's framework (1988): 1) test and evaluate program, 2) identify bug, 3) represent program, 4) locate bug and 5) correct bug. The main finding is the construction and development of syntactic and semantic knowledge.","author":[{"dropping-particle":"","family":"Misirli","given":"Anastasia","non-dropping-particle":"","parse-names":false,"suffix":""},{"dropping-particle":"","family":"Komis","given":"Vassilis","non-dropping-particle":"","parse-names":false,"suffix":""}],"container-title":"Early Childhood Research Quarterly","id":"ITEM-1","issued":{"date-parts":[["2023"]]},"page":"139-158","title":"Computational thinking in early childhood education: The impact of programming a tangible robot on developing debugging knowledge","type":"article-journal","volume":"65"},"uris":["http://www.mendeley.com/documents/?uuid=c644386c-bf8c-4e32-9f9e-8bfa5b55eb49"]}],"mendeley":{"formattedCitation":"[2]","plainTextFormattedCitation":"[2]","previouslyFormattedCitation":"[2]"},"properties":{"noteIndex":0},"schema":"https://github.com/citation-style-language/schema/raw/master/csl-citation.json"}</w:instrText>
      </w:r>
      <w:r w:rsidRPr="004A2CA9">
        <w:rPr>
          <w:rFonts w:ascii="Calibri" w:hAnsi="Calibri" w:cs="Calibri"/>
        </w:rPr>
        <w:fldChar w:fldCharType="separate"/>
      </w:r>
      <w:r w:rsidRPr="004A2CA9">
        <w:rPr>
          <w:rFonts w:ascii="Calibri" w:hAnsi="Calibri" w:cs="Calibri"/>
          <w:noProof/>
        </w:rPr>
        <w:t>[2]</w:t>
      </w:r>
      <w:r w:rsidRPr="004A2CA9">
        <w:rPr>
          <w:rFonts w:ascii="Calibri" w:hAnsi="Calibri" w:cs="Calibri"/>
        </w:rPr>
        <w:fldChar w:fldCharType="end"/>
      </w:r>
      <w:r w:rsidRPr="004A2CA9">
        <w:rPr>
          <w:rFonts w:ascii="Calibri" w:hAnsi="Calibri" w:cs="Calibri"/>
        </w:rPr>
        <w:t xml:space="preserve">. To translate these benefits into the classroom, educators have begun wrapping curricular goals inside playful “escape” scenarios—e.g., </w:t>
      </w:r>
      <w:r w:rsidRPr="004A2CA9">
        <w:rPr>
          <w:rFonts w:ascii="Calibri" w:hAnsi="Calibri" w:cs="Calibri"/>
          <w:i/>
          <w:iCs/>
        </w:rPr>
        <w:t>Code-to-Escape</w:t>
      </w:r>
      <w:r w:rsidRPr="004A2CA9">
        <w:rPr>
          <w:rFonts w:ascii="Calibri" w:hAnsi="Calibri" w:cs="Calibri"/>
        </w:rPr>
        <w:t xml:space="preserve"> maths quests, AI-literacy puzzles, or cybersecurity breakouts—so that mastering a concept is literally the key that opens the next lock.</w:t>
      </w:r>
      <w:r w:rsidR="00657171" w:rsidRPr="004A2CA9">
        <w:rPr>
          <w:rFonts w:ascii="Calibri" w:hAnsi="Calibri" w:cs="Calibri"/>
        </w:rPr>
        <w:t xml:space="preserve"> </w:t>
      </w:r>
      <w:r w:rsidRPr="004A2CA9">
        <w:rPr>
          <w:rFonts w:ascii="Calibri" w:hAnsi="Calibri" w:cs="Calibri"/>
        </w:rPr>
        <w:t xml:space="preserve">Building on that movement, we propose an integrated Robot Escape Room for </w:t>
      </w:r>
      <w:r w:rsidR="00657171" w:rsidRPr="004A2CA9">
        <w:rPr>
          <w:rFonts w:ascii="Calibri" w:hAnsi="Calibri" w:cs="Calibri"/>
        </w:rPr>
        <w:t>students in school</w:t>
      </w:r>
      <w:r w:rsidRPr="004A2CA9">
        <w:rPr>
          <w:rFonts w:ascii="Calibri" w:hAnsi="Calibri" w:cs="Calibri"/>
        </w:rPr>
        <w:t xml:space="preserve"> that fuses three research-backed mechanics into one seamless adventure.</w:t>
      </w:r>
    </w:p>
    <w:p w14:paraId="387260E3" w14:textId="32F36A26" w:rsidR="004A2CA9" w:rsidRPr="004A2CA9" w:rsidRDefault="004A2CA9" w:rsidP="001D3CDE">
      <w:pPr>
        <w:widowControl w:val="0"/>
        <w:autoSpaceDE w:val="0"/>
        <w:autoSpaceDN w:val="0"/>
        <w:adjustRightInd w:val="0"/>
        <w:spacing w:after="0" w:line="240" w:lineRule="auto"/>
        <w:jc w:val="both"/>
        <w:rPr>
          <w:rFonts w:ascii="Calibri" w:hAnsi="Calibri" w:cs="Calibri"/>
        </w:rPr>
      </w:pPr>
      <w:r w:rsidRPr="004A2CA9">
        <w:rPr>
          <w:rFonts w:ascii="Calibri" w:hAnsi="Calibri" w:cs="Calibri"/>
          <w:noProof/>
        </w:rPr>
        <w:drawing>
          <wp:inline distT="0" distB="0" distL="0" distR="0" wp14:anchorId="23A824B3" wp14:editId="797BD52F">
            <wp:extent cx="5731510" cy="3820795"/>
            <wp:effectExtent l="0" t="0" r="2540" b="8255"/>
            <wp:docPr id="1067830847" name="Picture 1" descr="A diagram of a puzzle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0847" name="Picture 1" descr="A diagram of a puzzle gam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1A59CC8" w14:textId="77777777" w:rsidR="004A2CA9" w:rsidRPr="004A2CA9" w:rsidRDefault="004A2CA9" w:rsidP="001D3CDE">
      <w:pPr>
        <w:widowControl w:val="0"/>
        <w:autoSpaceDE w:val="0"/>
        <w:autoSpaceDN w:val="0"/>
        <w:adjustRightInd w:val="0"/>
        <w:spacing w:after="0" w:line="240" w:lineRule="auto"/>
        <w:jc w:val="both"/>
        <w:rPr>
          <w:rFonts w:ascii="Calibri" w:hAnsi="Calibri" w:cs="Calibri"/>
        </w:rPr>
      </w:pPr>
    </w:p>
    <w:p w14:paraId="068322AF" w14:textId="77777777" w:rsidR="004A2CA9" w:rsidRPr="004A2CA9" w:rsidRDefault="004A2CA9" w:rsidP="004A2CA9">
      <w:pPr>
        <w:widowControl w:val="0"/>
        <w:autoSpaceDE w:val="0"/>
        <w:autoSpaceDN w:val="0"/>
        <w:adjustRightInd w:val="0"/>
        <w:spacing w:after="0" w:line="240" w:lineRule="auto"/>
        <w:jc w:val="both"/>
        <w:rPr>
          <w:rFonts w:ascii="Calibri" w:hAnsi="Calibri" w:cs="Calibri"/>
        </w:rPr>
      </w:pPr>
      <w:r w:rsidRPr="004A2CA9">
        <w:rPr>
          <w:rFonts w:ascii="Calibri" w:hAnsi="Calibri" w:cs="Calibri"/>
        </w:rPr>
        <w:t xml:space="preserve">To translate the three robot-mediated studies into a purely game-based “escape-room” experience, picture a sequence of three locked chambers—each built around a puzzle that mirrors a proven learning mechanic while dispensing with the physical robot: (1) drawing on findings that peer-framed block-coding sped children’s maze completion whereas teacher-style scaffolding yielded deeper knowledge gains </w:t>
      </w:r>
      <w:r w:rsidRPr="004A2CA9">
        <w:rPr>
          <w:rFonts w:ascii="Calibri" w:hAnsi="Calibri" w:cs="Calibri"/>
        </w:rPr>
        <w:fldChar w:fldCharType="begin" w:fldLock="1"/>
      </w:r>
      <w:r w:rsidRPr="004A2CA9">
        <w:rPr>
          <w:rFonts w:ascii="Calibri" w:hAnsi="Calibri" w:cs="Calibri"/>
        </w:rPr>
        <w:instrText>ADDIN CSL_CITATION {"citationItems":[{"id":"ITEM-1","itemData":{"DOI":"10.1007/978-3-319-47437-3_64","abstract":"The goal of this ongoing research is to examine the feasibility of using a social humanoid robot to teach children the basics of programming. We focus on exploring robot’s adaptive strategies in order to facilitate both effective educational applications and engaging childrobot interaction. In this paper we present our preliminary work, which explores robot’s social roles (peer versus teacher) and their effect on learning. The child needs to learn the basics of programming in order to walk the robot through the maze via drag-and-drop instructions on the tablet screen. The findings suggest that children complete the task much quicker with the peer robot while a teacher robot is shown to be more effective for learning. © Springer International Publishing AG 2016.","author":[{"dropping-particle":"","family":"Tazhigaliyeva","given":"N","non-dropping-particle":"","parse-names":false,"suffix":""},{"dropping-particle":"","family":"Diyas","given":"Y","non-dropping-particle":"","parse-names":false,"suffix":""},{"dropping-particle":"","family":"Brakk","given":"D","non-dropping-particle":"","parse-names":false,"suffix":""},{"dropping-particle":"","family":"Aimambetov","given":"Y","non-dropping-particle":"","parse-names":false,"suffix":""},{"dropping-particle":"","family":"Sandygulova","given":"A","non-dropping-particle":"","parse-names":false,"suffix":""}],"container-title":"Lecture Notes in Computer Science (including subseries Lecture Notes in Artificial Intelligence and Lecture Notes in Bioinformatics)","id":"ITEM-1","issued":{"date-parts":[["2016"]]},"note":"Export Date: 03 February 2025; Cited By: 15","page":"650-659","title":"Learning with or from the robot: Exploring robot roles in educational context with children","type":"paper-conference","volume":"9979 LNAI"},"uris":["http://www.mendeley.com/documents/?uuid=9822f56a-bdf7-4a8c-af4f-67555aad6ba1"]}],"mendeley":{"formattedCitation":"[3]","plainTextFormattedCitation":"[3]","previouslyFormattedCitation":"[3]"},"properties":{"noteIndex":0},"schema":"https://github.com/citation-style-language/schema/raw/master/csl-citation.json"}</w:instrText>
      </w:r>
      <w:r w:rsidRPr="004A2CA9">
        <w:rPr>
          <w:rFonts w:ascii="Calibri" w:hAnsi="Calibri" w:cs="Calibri"/>
        </w:rPr>
        <w:fldChar w:fldCharType="separate"/>
      </w:r>
      <w:r w:rsidRPr="004A2CA9">
        <w:rPr>
          <w:rFonts w:ascii="Calibri" w:hAnsi="Calibri" w:cs="Calibri"/>
          <w:noProof/>
        </w:rPr>
        <w:t>[3]</w:t>
      </w:r>
      <w:r w:rsidRPr="004A2CA9">
        <w:rPr>
          <w:rFonts w:ascii="Calibri" w:hAnsi="Calibri" w:cs="Calibri"/>
        </w:rPr>
        <w:fldChar w:fldCharType="end"/>
      </w:r>
      <w:r w:rsidRPr="004A2CA9">
        <w:rPr>
          <w:rFonts w:ascii="Calibri" w:hAnsi="Calibri" w:cs="Calibri"/>
        </w:rPr>
        <w:t xml:space="preserve">, the first room’s floor-grid is sealed until teams drag-and-drop Scratch-like blocks to steer a virtual avatar to a goal, with optional “instructor hints” that cost time but boost concept mastery; (2) inspired by the museum exhibit where 109 youngsters improved a chatbot by feeding it better examples and saw its confidence bar rise in real time </w:t>
      </w:r>
      <w:r w:rsidRPr="004A2CA9">
        <w:rPr>
          <w:rFonts w:ascii="Calibri" w:hAnsi="Calibri" w:cs="Calibri"/>
        </w:rPr>
        <w:fldChar w:fldCharType="begin" w:fldLock="1"/>
      </w:r>
      <w:r w:rsidRPr="004A2CA9">
        <w:rPr>
          <w:rFonts w:ascii="Calibri" w:hAnsi="Calibri" w:cs="Calibri"/>
        </w:rPr>
        <w:instrText>ADDIN CSL_CITATION {"citationItems":[{"id":"ITEM-1","itemData":{"DOI":"10.1145/3462204.3482888","ISBN":"978-145038479-7 (ISBN)","abstract":"Teaching Artificial intelligence concepts is incorporated in many formal and informal educational institutions. This demo showcases a novel learning experience of fundamental AI concepts for children in a 30-minute, engaging, hands-on, and playful experience designed for museums and community centers. The experience aims to make children to comprehend that AI systems are built from and by people, and is materialized in a series of activities where the children improve the abilities of three AI-powered conversational robots competing in a quiz game. The demo shows how children can learn about AI by teaching machines in natural language in a way which enables them to grasp intuitively those essential ideas about AI. As part of the formative design process, 109 children interacted and evaluated the prototype. © 2021 ACM.","author":[{"dropping-particle":"","family":"Candello","given":"H","non-dropping-particle":"","parse-names":false,"suffix":""},{"dropping-particle":"","family":"Pichiliani","given":"M","non-dropping-particle":"","parse-names":false,"suffix":""},{"dropping-particle":"","family":"Pinhanez","given":"C","non-dropping-particle":"","parse-names":false,"suffix":""}],"container-title":"Proceedings of the ACM Conference on Computer Supported Cooperative Work, CSCW","id":"ITEM-1","issued":{"date-parts":[["2021"]]},"language":"English","note":"Export Date: 19 March 2025; Cited By: 3; Conference name: 24th ACM Conference on Computer-Supported Cooperative Work and Social Computing, CSCW 2021; Conference date: 23 October 2021 through 27 October 2021; Conference code: 172900","page":"208-212","publisher":"Association for Computing Machinery","publisher-place":"IBM Research, Brazil","title":"Making Conversational Robots Learn from Children in a Collaborative Museum Exhibition","type":"paper-conference"},"uris":["http://www.mendeley.com/documents/?uuid=5b317b3c-4323-40cc-bb8b-f27e7aa40643"]}],"mendeley":{"formattedCitation":"[4]","plainTextFormattedCitation":"[4]","previouslyFormattedCitation":"[4]"},"properties":{"noteIndex":0},"schema":"https://github.com/citation-style-language/schema/raw/master/csl-citation.json"}</w:instrText>
      </w:r>
      <w:r w:rsidRPr="004A2CA9">
        <w:rPr>
          <w:rFonts w:ascii="Calibri" w:hAnsi="Calibri" w:cs="Calibri"/>
        </w:rPr>
        <w:fldChar w:fldCharType="separate"/>
      </w:r>
      <w:r w:rsidRPr="004A2CA9">
        <w:rPr>
          <w:rFonts w:ascii="Calibri" w:hAnsi="Calibri" w:cs="Calibri"/>
          <w:noProof/>
        </w:rPr>
        <w:t>[4]</w:t>
      </w:r>
      <w:r w:rsidRPr="004A2CA9">
        <w:rPr>
          <w:rFonts w:ascii="Calibri" w:hAnsi="Calibri" w:cs="Calibri"/>
        </w:rPr>
        <w:fldChar w:fldCharType="end"/>
      </w:r>
      <w:r w:rsidRPr="004A2CA9">
        <w:rPr>
          <w:rFonts w:ascii="Calibri" w:hAnsi="Calibri" w:cs="Calibri"/>
        </w:rPr>
        <w:t xml:space="preserve">, the second door remains shut until players debug an AI terminal—reinforcing the ideas that humans supply data, algorithms err, and careful curation fixes them; (3) echoing the story-driven cybersecurity curriculum that increased elementary learners’ password-safety scores and computing interest </w:t>
      </w:r>
      <w:r w:rsidRPr="004A2CA9">
        <w:rPr>
          <w:rFonts w:ascii="Calibri" w:hAnsi="Calibri" w:cs="Calibri"/>
        </w:rPr>
        <w:fldChar w:fldCharType="begin" w:fldLock="1"/>
      </w:r>
      <w:r w:rsidRPr="004A2CA9">
        <w:rPr>
          <w:rFonts w:ascii="Calibri" w:hAnsi="Calibri" w:cs="Calibri"/>
        </w:rPr>
        <w:instrText>ADDIN CSL_CITATION {"citationItems":[{"id":"ITEM-1","itemData":{"DOI":"10.1145/3397617.3397824","abstract":"Social robots have recently been gaining attention in the education field. Given their capabilities, researchers can use social robots in various ways that support human-robot interactions. In this paper, we present an interactive cybersecurity education program to teach children about foundation cybersecurity concepts using a social robot. To create child-robot interactions in cybersecurity education, we devised three processes. First, in collaboration with practicing teachers we developed an interactive story to support student engagement and learning of cybersecurity concepts. Second, we prototyped animations for the story on the social robot. Third, we use a mixed-methods approach to pilot test our cybersecurity education program. Our research highlights the potential of social robot use in education, both for child-robot interaction and K-12 cybersecurity education. © 2020 Owner/Author.","author":[{"dropping-particle":"","family":"Chiou","given":"Y.-M.","non-dropping-particle":"","parse-names":false,"suffix":""},{"dropping-particle":"","family":"Barnes","given":"T","non-dropping-particle":"","parse-names":false,"suffix":""},{"dropping-particle":"","family":"Mouza","given":"C","non-dropping-particle":"","parse-names":false,"suffix":""},{"dropping-particle":"","family":"Shen","given":"C.-C.","non-dropping-particle":"","parse-names":false,"suffix":""}],"container-title":"Extended Abstracts - Proceedings of the 2020 ACM Interaction Design and Children Conference, IDC 2020","id":"ITEM-1","issued":{"date-parts":[["2020"]]},"note":"Export Date: 03 February 2025; Cited By: 1","page":"199-204","title":"Social robot teaches cybersecurity","type":"paper-conference"},"uris":["http://www.mendeley.com/documents/?uuid=1dafc82a-8094-4dfa-88c4-3bfd9e3b967b"]}],"mendeley":{"formattedCitation":"[5]","plainTextFormattedCitation":"[5]"},"properties":{"noteIndex":0},"schema":"https://github.com/citation-style-language/schema/raw/master/csl-citation.json"}</w:instrText>
      </w:r>
      <w:r w:rsidRPr="004A2CA9">
        <w:rPr>
          <w:rFonts w:ascii="Calibri" w:hAnsi="Calibri" w:cs="Calibri"/>
        </w:rPr>
        <w:fldChar w:fldCharType="separate"/>
      </w:r>
      <w:r w:rsidRPr="004A2CA9">
        <w:rPr>
          <w:rFonts w:ascii="Calibri" w:hAnsi="Calibri" w:cs="Calibri"/>
          <w:noProof/>
        </w:rPr>
        <w:t>[5]</w:t>
      </w:r>
      <w:r w:rsidRPr="004A2CA9">
        <w:rPr>
          <w:rFonts w:ascii="Calibri" w:hAnsi="Calibri" w:cs="Calibri"/>
        </w:rPr>
        <w:fldChar w:fldCharType="end"/>
      </w:r>
      <w:r w:rsidRPr="004A2CA9">
        <w:rPr>
          <w:rFonts w:ascii="Calibri" w:hAnsi="Calibri" w:cs="Calibri"/>
        </w:rPr>
        <w:t xml:space="preserve">, the final vault presents an interactive fairy-tale firewall: learners must spot phishing clues, craft strong pass-phrases, and </w:t>
      </w:r>
      <w:r w:rsidRPr="004A2CA9">
        <w:rPr>
          <w:rFonts w:ascii="Calibri" w:hAnsi="Calibri" w:cs="Calibri"/>
        </w:rPr>
        <w:lastRenderedPageBreak/>
        <w:t>choose safe narrative branches to collect three cipher digits. Entering the combined code pops the exit, delivering the same blend of rapid engagement and measurable knowledge gain reported by the original research—now entirely through puzzles, no robots required.</w:t>
      </w:r>
    </w:p>
    <w:p w14:paraId="7E54042A" w14:textId="77777777" w:rsidR="00B851E9" w:rsidRDefault="00B851E9" w:rsidP="001D3CDE">
      <w:pPr>
        <w:widowControl w:val="0"/>
        <w:autoSpaceDE w:val="0"/>
        <w:autoSpaceDN w:val="0"/>
        <w:adjustRightInd w:val="0"/>
        <w:spacing w:after="0" w:line="240" w:lineRule="auto"/>
        <w:jc w:val="both"/>
        <w:rPr>
          <w:rFonts w:ascii="Calibri" w:hAnsi="Calibri" w:cs="Calibri"/>
        </w:rPr>
      </w:pPr>
    </w:p>
    <w:p w14:paraId="274A16ED" w14:textId="23B5EDE7" w:rsidR="00B851E9" w:rsidRDefault="00B851E9" w:rsidP="00B851E9">
      <w:pPr>
        <w:widowControl w:val="0"/>
        <w:autoSpaceDE w:val="0"/>
        <w:autoSpaceDN w:val="0"/>
        <w:adjustRightInd w:val="0"/>
        <w:spacing w:after="0" w:line="240" w:lineRule="auto"/>
        <w:jc w:val="both"/>
        <w:rPr>
          <w:rFonts w:ascii="Calibri" w:hAnsi="Calibri" w:cs="Calibri"/>
          <w:b/>
          <w:bCs/>
        </w:rPr>
      </w:pPr>
      <w:r w:rsidRPr="00B851E9">
        <w:rPr>
          <w:rFonts w:ascii="Calibri" w:hAnsi="Calibri" w:cs="Calibri"/>
          <w:b/>
          <w:bCs/>
        </w:rPr>
        <w:t>Room 4: AI-Aware Puzzle – Designing for Cognitive Integrity in the Age of LLMs</w:t>
      </w:r>
    </w:p>
    <w:p w14:paraId="3E11EB77" w14:textId="77777777" w:rsidR="00B851E9" w:rsidRDefault="00B851E9" w:rsidP="00B851E9">
      <w:pPr>
        <w:widowControl w:val="0"/>
        <w:autoSpaceDE w:val="0"/>
        <w:autoSpaceDN w:val="0"/>
        <w:adjustRightInd w:val="0"/>
        <w:spacing w:after="0" w:line="240" w:lineRule="auto"/>
        <w:jc w:val="both"/>
        <w:rPr>
          <w:rFonts w:ascii="Calibri" w:hAnsi="Calibri" w:cs="Calibri"/>
          <w:b/>
          <w:bCs/>
        </w:rPr>
      </w:pPr>
    </w:p>
    <w:p w14:paraId="1A1C8975" w14:textId="77777777" w:rsidR="00B851E9" w:rsidRPr="00B851E9" w:rsidRDefault="00B851E9" w:rsidP="00B851E9">
      <w:pPr>
        <w:pStyle w:val="ListParagraph"/>
        <w:widowControl w:val="0"/>
        <w:numPr>
          <w:ilvl w:val="0"/>
          <w:numId w:val="5"/>
        </w:numPr>
        <w:autoSpaceDE w:val="0"/>
        <w:autoSpaceDN w:val="0"/>
        <w:adjustRightInd w:val="0"/>
        <w:spacing w:after="0" w:line="240" w:lineRule="auto"/>
        <w:ind w:left="357" w:hanging="357"/>
        <w:jc w:val="both"/>
        <w:rPr>
          <w:rFonts w:ascii="Calibri" w:hAnsi="Calibri" w:cs="Calibri"/>
          <w:b/>
          <w:bCs/>
        </w:rPr>
      </w:pPr>
      <w:r w:rsidRPr="00B851E9">
        <w:rPr>
          <w:rFonts w:ascii="Calibri" w:hAnsi="Calibri" w:cs="Calibri"/>
          <w:b/>
          <w:bCs/>
        </w:rPr>
        <w:t>Theoretical Challenge:</w:t>
      </w:r>
    </w:p>
    <w:p w14:paraId="53D1FC09" w14:textId="77777777" w:rsidR="00B851E9" w:rsidRPr="00B851E9" w:rsidRDefault="00B851E9" w:rsidP="00B851E9">
      <w:pPr>
        <w:widowControl w:val="0"/>
        <w:autoSpaceDE w:val="0"/>
        <w:autoSpaceDN w:val="0"/>
        <w:adjustRightInd w:val="0"/>
        <w:spacing w:after="0" w:line="240" w:lineRule="auto"/>
        <w:jc w:val="both"/>
        <w:rPr>
          <w:rFonts w:ascii="Calibri" w:hAnsi="Calibri" w:cs="Calibri"/>
        </w:rPr>
      </w:pPr>
      <w:r w:rsidRPr="00B851E9">
        <w:rPr>
          <w:rFonts w:ascii="Calibri" w:hAnsi="Calibri" w:cs="Calibri"/>
        </w:rPr>
        <w:t>With the increasing ubiquity of large language models (LLMs) such as ChatGPT, DeepSeek, and Claude in education, there arises a critical tension between access to intelligent support and preservation of deep cognitive engagement. In game-based learning environments—particularly puzzle or escape-room formats—there is a growing risk that students may circumvent authentic learning processes by relying on LLMs for immediate answers. This undermines opportunities for concept synthesis, higher-order thinking, and problem-solving skill development.</w:t>
      </w:r>
    </w:p>
    <w:p w14:paraId="39BEB764" w14:textId="77777777" w:rsidR="00B851E9" w:rsidRDefault="00B851E9" w:rsidP="00B851E9">
      <w:pPr>
        <w:pStyle w:val="ListParagraph"/>
        <w:widowControl w:val="0"/>
        <w:numPr>
          <w:ilvl w:val="0"/>
          <w:numId w:val="5"/>
        </w:numPr>
        <w:autoSpaceDE w:val="0"/>
        <w:autoSpaceDN w:val="0"/>
        <w:adjustRightInd w:val="0"/>
        <w:spacing w:after="0" w:line="240" w:lineRule="auto"/>
        <w:ind w:left="357" w:hanging="357"/>
        <w:jc w:val="both"/>
        <w:rPr>
          <w:rFonts w:ascii="Calibri" w:hAnsi="Calibri" w:cs="Calibri"/>
          <w:b/>
          <w:bCs/>
        </w:rPr>
      </w:pPr>
      <w:r w:rsidRPr="00B851E9">
        <w:rPr>
          <w:rFonts w:ascii="Calibri" w:hAnsi="Calibri" w:cs="Calibri"/>
          <w:b/>
          <w:bCs/>
        </w:rPr>
        <w:t>Pedagogical Contribution:</w:t>
      </w:r>
    </w:p>
    <w:p w14:paraId="648E542A" w14:textId="77777777" w:rsidR="00B851E9" w:rsidRPr="00B851E9" w:rsidRDefault="00B851E9" w:rsidP="00B851E9">
      <w:pPr>
        <w:widowControl w:val="0"/>
        <w:autoSpaceDE w:val="0"/>
        <w:autoSpaceDN w:val="0"/>
        <w:adjustRightInd w:val="0"/>
        <w:spacing w:after="0" w:line="240" w:lineRule="auto"/>
        <w:jc w:val="both"/>
        <w:rPr>
          <w:rFonts w:ascii="Calibri" w:hAnsi="Calibri" w:cs="Calibri"/>
        </w:rPr>
      </w:pPr>
      <w:r w:rsidRPr="00B851E9">
        <w:rPr>
          <w:rFonts w:ascii="Calibri" w:hAnsi="Calibri" w:cs="Calibri"/>
        </w:rPr>
        <w:t>This puzzle room is deliberately designed to expose and counteract overreliance on LLMs by embedding friction and requiring interpretive reasoning, multi-source verification, and constructive synthesis. While students may consult an embedded AI tool for hints, the information provided is purposefully incomplete, metaphorical, or distributed across fragmented sources. Learners must evaluate the relevance, credibility, and coherence of these fragments, and integrate them into a broader conceptual framework to unlock the final challenge.</w:t>
      </w:r>
    </w:p>
    <w:p w14:paraId="4CA61265" w14:textId="77777777" w:rsidR="00B851E9" w:rsidRPr="00B851E9" w:rsidRDefault="00B851E9" w:rsidP="00B851E9">
      <w:pPr>
        <w:widowControl w:val="0"/>
        <w:autoSpaceDE w:val="0"/>
        <w:autoSpaceDN w:val="0"/>
        <w:adjustRightInd w:val="0"/>
        <w:spacing w:after="0" w:line="240" w:lineRule="auto"/>
        <w:jc w:val="both"/>
        <w:rPr>
          <w:rFonts w:ascii="Calibri" w:hAnsi="Calibri" w:cs="Calibri"/>
          <w:b/>
          <w:bCs/>
        </w:rPr>
      </w:pPr>
    </w:p>
    <w:p w14:paraId="1EE898A3" w14:textId="3FC08D9F" w:rsidR="00B851E9" w:rsidRDefault="00B851E9" w:rsidP="001D3CDE">
      <w:pPr>
        <w:widowControl w:val="0"/>
        <w:autoSpaceDE w:val="0"/>
        <w:autoSpaceDN w:val="0"/>
        <w:adjustRightInd w:val="0"/>
        <w:spacing w:after="0" w:line="240" w:lineRule="auto"/>
        <w:jc w:val="both"/>
        <w:rPr>
          <w:rFonts w:ascii="Calibri" w:hAnsi="Calibri" w:cs="Calibri"/>
        </w:rPr>
      </w:pPr>
      <w:r>
        <w:rPr>
          <w:noProof/>
        </w:rPr>
        <w:drawing>
          <wp:inline distT="0" distB="0" distL="0" distR="0" wp14:anchorId="1B37B394" wp14:editId="226934A7">
            <wp:extent cx="5731510" cy="4206240"/>
            <wp:effectExtent l="0" t="0" r="2540" b="3810"/>
            <wp:docPr id="381967939" name="Picture 2" descr="A poster of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7939" name="Picture 2" descr="A poster of a classroom&#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b="51075"/>
                    <a:stretch>
                      <a:fillRect/>
                    </a:stretch>
                  </pic:blipFill>
                  <pic:spPr bwMode="auto">
                    <a:xfrm>
                      <a:off x="0" y="0"/>
                      <a:ext cx="5731510" cy="4206240"/>
                    </a:xfrm>
                    <a:prstGeom prst="rect">
                      <a:avLst/>
                    </a:prstGeom>
                    <a:noFill/>
                    <a:ln>
                      <a:noFill/>
                    </a:ln>
                    <a:extLst>
                      <a:ext uri="{53640926-AAD7-44D8-BBD7-CCE9431645EC}">
                        <a14:shadowObscured xmlns:a14="http://schemas.microsoft.com/office/drawing/2010/main"/>
                      </a:ext>
                    </a:extLst>
                  </pic:spPr>
                </pic:pic>
              </a:graphicData>
            </a:graphic>
          </wp:inline>
        </w:drawing>
      </w:r>
    </w:p>
    <w:p w14:paraId="70BE5237" w14:textId="77777777" w:rsidR="00B851E9" w:rsidRDefault="00B851E9" w:rsidP="001D3CDE">
      <w:pPr>
        <w:widowControl w:val="0"/>
        <w:autoSpaceDE w:val="0"/>
        <w:autoSpaceDN w:val="0"/>
        <w:adjustRightInd w:val="0"/>
        <w:spacing w:after="0" w:line="240" w:lineRule="auto"/>
        <w:jc w:val="both"/>
        <w:rPr>
          <w:rFonts w:ascii="Calibri" w:hAnsi="Calibri" w:cs="Calibri"/>
        </w:rPr>
      </w:pPr>
    </w:p>
    <w:p w14:paraId="4C2C0519" w14:textId="77777777" w:rsidR="00B851E9" w:rsidRDefault="00B851E9" w:rsidP="001D3CDE">
      <w:pPr>
        <w:widowControl w:val="0"/>
        <w:autoSpaceDE w:val="0"/>
        <w:autoSpaceDN w:val="0"/>
        <w:adjustRightInd w:val="0"/>
        <w:spacing w:after="0" w:line="240" w:lineRule="auto"/>
        <w:jc w:val="both"/>
        <w:rPr>
          <w:rFonts w:ascii="Calibri" w:hAnsi="Calibri" w:cs="Calibri"/>
        </w:rPr>
      </w:pPr>
    </w:p>
    <w:p w14:paraId="728CB9E2" w14:textId="77777777" w:rsidR="00B851E9" w:rsidRPr="00B851E9" w:rsidRDefault="00B851E9" w:rsidP="00B851E9">
      <w:pPr>
        <w:pStyle w:val="ListParagraph"/>
        <w:widowControl w:val="0"/>
        <w:numPr>
          <w:ilvl w:val="0"/>
          <w:numId w:val="5"/>
        </w:numPr>
        <w:autoSpaceDE w:val="0"/>
        <w:autoSpaceDN w:val="0"/>
        <w:adjustRightInd w:val="0"/>
        <w:spacing w:after="0" w:line="240" w:lineRule="auto"/>
        <w:ind w:left="357" w:hanging="357"/>
        <w:jc w:val="both"/>
        <w:rPr>
          <w:rFonts w:ascii="Calibri" w:hAnsi="Calibri" w:cs="Calibri"/>
          <w:b/>
          <w:bCs/>
        </w:rPr>
      </w:pPr>
      <w:r w:rsidRPr="00B851E9">
        <w:rPr>
          <w:rFonts w:ascii="Calibri" w:hAnsi="Calibri" w:cs="Calibri"/>
          <w:b/>
          <w:bCs/>
        </w:rPr>
        <w:lastRenderedPageBreak/>
        <w:t>Instructional Design Features:</w:t>
      </w:r>
    </w:p>
    <w:p w14:paraId="1BC417CD" w14:textId="77777777" w:rsidR="00B851E9" w:rsidRPr="00B851E9" w:rsidRDefault="00B851E9" w:rsidP="00B851E9">
      <w:pPr>
        <w:widowControl w:val="0"/>
        <w:numPr>
          <w:ilvl w:val="0"/>
          <w:numId w:val="3"/>
        </w:numPr>
        <w:autoSpaceDE w:val="0"/>
        <w:autoSpaceDN w:val="0"/>
        <w:adjustRightInd w:val="0"/>
        <w:spacing w:after="0" w:line="240" w:lineRule="auto"/>
        <w:ind w:left="357" w:hanging="357"/>
        <w:jc w:val="both"/>
        <w:rPr>
          <w:rFonts w:ascii="Calibri" w:hAnsi="Calibri" w:cs="Calibri"/>
        </w:rPr>
      </w:pPr>
      <w:r w:rsidRPr="00B851E9">
        <w:rPr>
          <w:rFonts w:ascii="Calibri" w:hAnsi="Calibri" w:cs="Calibri"/>
        </w:rPr>
        <w:t>LLM agents within the room produce non-directive prompts (e.g., analogies, ambiguous references, partial truths).</w:t>
      </w:r>
    </w:p>
    <w:p w14:paraId="4CD1E153" w14:textId="77777777" w:rsidR="00B851E9" w:rsidRPr="00B851E9" w:rsidRDefault="00B851E9" w:rsidP="00B851E9">
      <w:pPr>
        <w:widowControl w:val="0"/>
        <w:numPr>
          <w:ilvl w:val="0"/>
          <w:numId w:val="3"/>
        </w:numPr>
        <w:autoSpaceDE w:val="0"/>
        <w:autoSpaceDN w:val="0"/>
        <w:adjustRightInd w:val="0"/>
        <w:spacing w:after="0" w:line="240" w:lineRule="auto"/>
        <w:ind w:left="357" w:hanging="357"/>
        <w:jc w:val="both"/>
        <w:rPr>
          <w:rFonts w:ascii="Calibri" w:hAnsi="Calibri" w:cs="Calibri"/>
        </w:rPr>
      </w:pPr>
      <w:r w:rsidRPr="00B851E9">
        <w:rPr>
          <w:rFonts w:ascii="Calibri" w:hAnsi="Calibri" w:cs="Calibri"/>
        </w:rPr>
        <w:t>Clues require cross-checking against in-game artifacts, databases, or prior rooms' content.</w:t>
      </w:r>
    </w:p>
    <w:p w14:paraId="2ABDFC6E" w14:textId="77777777" w:rsidR="00B851E9" w:rsidRPr="00B851E9" w:rsidRDefault="00B851E9" w:rsidP="00B851E9">
      <w:pPr>
        <w:widowControl w:val="0"/>
        <w:numPr>
          <w:ilvl w:val="0"/>
          <w:numId w:val="3"/>
        </w:numPr>
        <w:autoSpaceDE w:val="0"/>
        <w:autoSpaceDN w:val="0"/>
        <w:adjustRightInd w:val="0"/>
        <w:spacing w:after="0" w:line="240" w:lineRule="auto"/>
        <w:ind w:left="357" w:hanging="357"/>
        <w:jc w:val="both"/>
        <w:rPr>
          <w:rFonts w:ascii="Calibri" w:hAnsi="Calibri" w:cs="Calibri"/>
        </w:rPr>
      </w:pPr>
      <w:r w:rsidRPr="00B851E9">
        <w:rPr>
          <w:rFonts w:ascii="Calibri" w:hAnsi="Calibri" w:cs="Calibri"/>
        </w:rPr>
        <w:t>Correct solutions emerge from student-constructed logic, not single-response answers.</w:t>
      </w:r>
    </w:p>
    <w:p w14:paraId="5589C22E" w14:textId="77777777" w:rsidR="00B851E9" w:rsidRPr="00B851E9" w:rsidRDefault="00B851E9" w:rsidP="00B851E9">
      <w:pPr>
        <w:widowControl w:val="0"/>
        <w:numPr>
          <w:ilvl w:val="0"/>
          <w:numId w:val="3"/>
        </w:numPr>
        <w:autoSpaceDE w:val="0"/>
        <w:autoSpaceDN w:val="0"/>
        <w:adjustRightInd w:val="0"/>
        <w:spacing w:after="0" w:line="240" w:lineRule="auto"/>
        <w:ind w:left="357" w:hanging="357"/>
        <w:jc w:val="both"/>
        <w:rPr>
          <w:rFonts w:ascii="Calibri" w:hAnsi="Calibri" w:cs="Calibri"/>
        </w:rPr>
      </w:pPr>
      <w:r w:rsidRPr="00B851E9">
        <w:rPr>
          <w:rFonts w:ascii="Calibri" w:hAnsi="Calibri" w:cs="Calibri"/>
        </w:rPr>
        <w:t>A synthesis board or flow diagram tool may be provided to scaffold sense-making and conceptual mapping.</w:t>
      </w:r>
    </w:p>
    <w:p w14:paraId="20EB3DB9" w14:textId="77777777" w:rsidR="00B851E9" w:rsidRDefault="00B851E9" w:rsidP="00B851E9">
      <w:pPr>
        <w:pStyle w:val="ListParagraph"/>
        <w:widowControl w:val="0"/>
        <w:numPr>
          <w:ilvl w:val="0"/>
          <w:numId w:val="5"/>
        </w:numPr>
        <w:autoSpaceDE w:val="0"/>
        <w:autoSpaceDN w:val="0"/>
        <w:adjustRightInd w:val="0"/>
        <w:spacing w:after="0" w:line="240" w:lineRule="auto"/>
        <w:ind w:left="357" w:hanging="357"/>
        <w:jc w:val="both"/>
        <w:rPr>
          <w:rFonts w:ascii="Calibri" w:hAnsi="Calibri" w:cs="Calibri"/>
          <w:b/>
          <w:bCs/>
        </w:rPr>
      </w:pPr>
      <w:r w:rsidRPr="00B851E9">
        <w:rPr>
          <w:rFonts w:ascii="Calibri" w:hAnsi="Calibri" w:cs="Calibri"/>
          <w:b/>
          <w:bCs/>
        </w:rPr>
        <w:t>Research Implication:</w:t>
      </w:r>
    </w:p>
    <w:p w14:paraId="7BABA1F8" w14:textId="77777777" w:rsidR="00B851E9" w:rsidRPr="00B851E9" w:rsidRDefault="00B851E9" w:rsidP="00B851E9">
      <w:pPr>
        <w:widowControl w:val="0"/>
        <w:autoSpaceDE w:val="0"/>
        <w:autoSpaceDN w:val="0"/>
        <w:adjustRightInd w:val="0"/>
        <w:spacing w:after="0" w:line="240" w:lineRule="auto"/>
        <w:jc w:val="both"/>
        <w:rPr>
          <w:rFonts w:ascii="Calibri" w:hAnsi="Calibri" w:cs="Calibri"/>
        </w:rPr>
      </w:pPr>
      <w:r w:rsidRPr="00B851E9">
        <w:rPr>
          <w:rFonts w:ascii="Calibri" w:hAnsi="Calibri" w:cs="Calibri"/>
        </w:rPr>
        <w:t>This puzzle operationalizes a key future direction in AI-integrated pedagogy: the design of LLM-resilient educational frameworks that preserve the integrity of inquiry-based learning. It contributes to the development of design patterns where AI serves as a catalyst for deeper cognition, rather than a shortcut to outcomes.</w:t>
      </w:r>
    </w:p>
    <w:p w14:paraId="0271970A" w14:textId="77777777" w:rsidR="00B851E9" w:rsidRDefault="00B851E9" w:rsidP="00B851E9">
      <w:pPr>
        <w:widowControl w:val="0"/>
        <w:autoSpaceDE w:val="0"/>
        <w:autoSpaceDN w:val="0"/>
        <w:adjustRightInd w:val="0"/>
        <w:spacing w:after="0" w:line="240" w:lineRule="auto"/>
        <w:jc w:val="both"/>
        <w:rPr>
          <w:rFonts w:ascii="Calibri" w:hAnsi="Calibri" w:cs="Calibri"/>
        </w:rPr>
      </w:pPr>
    </w:p>
    <w:p w14:paraId="2707D540" w14:textId="3CA4D4C3" w:rsidR="00B851E9" w:rsidRDefault="00B851E9" w:rsidP="001D3CDE">
      <w:pPr>
        <w:widowControl w:val="0"/>
        <w:autoSpaceDE w:val="0"/>
        <w:autoSpaceDN w:val="0"/>
        <w:adjustRightInd w:val="0"/>
        <w:spacing w:after="0" w:line="240" w:lineRule="auto"/>
        <w:jc w:val="both"/>
        <w:rPr>
          <w:rFonts w:ascii="Calibri" w:hAnsi="Calibri" w:cs="Calibri"/>
        </w:rPr>
      </w:pPr>
      <w:r>
        <w:rPr>
          <w:noProof/>
        </w:rPr>
        <w:drawing>
          <wp:inline distT="0" distB="0" distL="0" distR="0" wp14:anchorId="2D09E078" wp14:editId="09AC7F62">
            <wp:extent cx="5731510" cy="4345305"/>
            <wp:effectExtent l="0" t="0" r="2540" b="0"/>
            <wp:docPr id="2134344584" name="Picture 3" descr="A poster of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4584" name="Picture 3" descr="A poster of a classroom&#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t="49457"/>
                    <a:stretch>
                      <a:fillRect/>
                    </a:stretch>
                  </pic:blipFill>
                  <pic:spPr bwMode="auto">
                    <a:xfrm>
                      <a:off x="0" y="0"/>
                      <a:ext cx="5731510" cy="4345305"/>
                    </a:xfrm>
                    <a:prstGeom prst="rect">
                      <a:avLst/>
                    </a:prstGeom>
                    <a:noFill/>
                    <a:ln>
                      <a:noFill/>
                    </a:ln>
                    <a:extLst>
                      <a:ext uri="{53640926-AAD7-44D8-BBD7-CCE9431645EC}">
                        <a14:shadowObscured xmlns:a14="http://schemas.microsoft.com/office/drawing/2010/main"/>
                      </a:ext>
                    </a:extLst>
                  </pic:spPr>
                </pic:pic>
              </a:graphicData>
            </a:graphic>
          </wp:inline>
        </w:drawing>
      </w:r>
    </w:p>
    <w:p w14:paraId="3E28BAC0"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49651F57"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1D7F692A"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575C8669"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15179745"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045B3060"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05DF4C26"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57BCF29F"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58318BBD"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1E6F902C"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0438AC5E" w14:textId="77777777" w:rsidR="001D4AD1" w:rsidRDefault="001D4AD1" w:rsidP="001D3CDE">
      <w:pPr>
        <w:widowControl w:val="0"/>
        <w:autoSpaceDE w:val="0"/>
        <w:autoSpaceDN w:val="0"/>
        <w:adjustRightInd w:val="0"/>
        <w:spacing w:after="0" w:line="240" w:lineRule="auto"/>
        <w:jc w:val="both"/>
        <w:rPr>
          <w:rFonts w:ascii="Calibri" w:hAnsi="Calibri" w:cs="Calibri"/>
        </w:rPr>
      </w:pPr>
    </w:p>
    <w:p w14:paraId="67DDAC0E" w14:textId="77777777" w:rsidR="001D4AD1" w:rsidRDefault="001D4AD1" w:rsidP="001D3CDE">
      <w:pPr>
        <w:widowControl w:val="0"/>
        <w:autoSpaceDE w:val="0"/>
        <w:autoSpaceDN w:val="0"/>
        <w:adjustRightInd w:val="0"/>
        <w:spacing w:after="0" w:line="240" w:lineRule="auto"/>
        <w:jc w:val="both"/>
        <w:rPr>
          <w:rFonts w:ascii="Calibri" w:hAnsi="Calibri" w:cs="Calibri"/>
        </w:rPr>
      </w:pPr>
    </w:p>
    <w:sectPr w:rsidR="001D4A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8184C"/>
    <w:multiLevelType w:val="multilevel"/>
    <w:tmpl w:val="BA2C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0209EE"/>
    <w:multiLevelType w:val="multilevel"/>
    <w:tmpl w:val="318055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7018BB"/>
    <w:multiLevelType w:val="hybridMultilevel"/>
    <w:tmpl w:val="CE0A09F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61D6DF4"/>
    <w:multiLevelType w:val="multilevel"/>
    <w:tmpl w:val="07D4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7E3B69"/>
    <w:multiLevelType w:val="multilevel"/>
    <w:tmpl w:val="C866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015894">
    <w:abstractNumId w:val="4"/>
  </w:num>
  <w:num w:numId="2" w16cid:durableId="2127966549">
    <w:abstractNumId w:val="0"/>
  </w:num>
  <w:num w:numId="3" w16cid:durableId="1076971437">
    <w:abstractNumId w:val="1"/>
  </w:num>
  <w:num w:numId="4" w16cid:durableId="1336108708">
    <w:abstractNumId w:val="3"/>
  </w:num>
  <w:num w:numId="5" w16cid:durableId="5887763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548"/>
    <w:rsid w:val="000940B4"/>
    <w:rsid w:val="000D3B22"/>
    <w:rsid w:val="0014366D"/>
    <w:rsid w:val="001D3CDE"/>
    <w:rsid w:val="001D4AD1"/>
    <w:rsid w:val="00216974"/>
    <w:rsid w:val="002517A9"/>
    <w:rsid w:val="00252377"/>
    <w:rsid w:val="002C70A7"/>
    <w:rsid w:val="00334DDC"/>
    <w:rsid w:val="003C6FC9"/>
    <w:rsid w:val="003D285E"/>
    <w:rsid w:val="003E70ED"/>
    <w:rsid w:val="003F116B"/>
    <w:rsid w:val="00411F71"/>
    <w:rsid w:val="0047625D"/>
    <w:rsid w:val="00486FFA"/>
    <w:rsid w:val="0049481D"/>
    <w:rsid w:val="004A2CA9"/>
    <w:rsid w:val="004A4A33"/>
    <w:rsid w:val="0052668C"/>
    <w:rsid w:val="00543D52"/>
    <w:rsid w:val="00555548"/>
    <w:rsid w:val="00567B00"/>
    <w:rsid w:val="005F2F60"/>
    <w:rsid w:val="00602AC1"/>
    <w:rsid w:val="006069D8"/>
    <w:rsid w:val="006107D6"/>
    <w:rsid w:val="0061435E"/>
    <w:rsid w:val="00657171"/>
    <w:rsid w:val="00762631"/>
    <w:rsid w:val="00807B52"/>
    <w:rsid w:val="00856C60"/>
    <w:rsid w:val="00875F9C"/>
    <w:rsid w:val="008E57D6"/>
    <w:rsid w:val="008E69AB"/>
    <w:rsid w:val="00966527"/>
    <w:rsid w:val="00986752"/>
    <w:rsid w:val="009C37DE"/>
    <w:rsid w:val="009E4827"/>
    <w:rsid w:val="00A057C3"/>
    <w:rsid w:val="00A50D3D"/>
    <w:rsid w:val="00A85EE9"/>
    <w:rsid w:val="00B0044A"/>
    <w:rsid w:val="00B07E59"/>
    <w:rsid w:val="00B5184B"/>
    <w:rsid w:val="00B77604"/>
    <w:rsid w:val="00B851E9"/>
    <w:rsid w:val="00C27005"/>
    <w:rsid w:val="00C40C21"/>
    <w:rsid w:val="00CB77B4"/>
    <w:rsid w:val="00DC74DC"/>
    <w:rsid w:val="00E21727"/>
    <w:rsid w:val="00E21D82"/>
    <w:rsid w:val="00E66B66"/>
    <w:rsid w:val="00EE7CA6"/>
    <w:rsid w:val="00F80DC7"/>
    <w:rsid w:val="00F93771"/>
    <w:rsid w:val="00FB1A32"/>
    <w:rsid w:val="00FC1021"/>
    <w:rsid w:val="00FE2C8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04548"/>
  <w15:chartTrackingRefBased/>
  <w15:docId w15:val="{68C534BD-BCAE-4167-B447-2FD96BBF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5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55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55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55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55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55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55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55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5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55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55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55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55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55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55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55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5548"/>
    <w:rPr>
      <w:rFonts w:eastAsiaTheme="majorEastAsia" w:cstheme="majorBidi"/>
      <w:color w:val="272727" w:themeColor="text1" w:themeTint="D8"/>
    </w:rPr>
  </w:style>
  <w:style w:type="paragraph" w:styleId="Title">
    <w:name w:val="Title"/>
    <w:basedOn w:val="Normal"/>
    <w:next w:val="Normal"/>
    <w:link w:val="TitleChar"/>
    <w:uiPriority w:val="10"/>
    <w:qFormat/>
    <w:rsid w:val="00555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5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55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55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5548"/>
    <w:pPr>
      <w:spacing w:before="160"/>
      <w:jc w:val="center"/>
    </w:pPr>
    <w:rPr>
      <w:i/>
      <w:iCs/>
      <w:color w:val="404040" w:themeColor="text1" w:themeTint="BF"/>
    </w:rPr>
  </w:style>
  <w:style w:type="character" w:customStyle="1" w:styleId="QuoteChar">
    <w:name w:val="Quote Char"/>
    <w:basedOn w:val="DefaultParagraphFont"/>
    <w:link w:val="Quote"/>
    <w:uiPriority w:val="29"/>
    <w:rsid w:val="00555548"/>
    <w:rPr>
      <w:i/>
      <w:iCs/>
      <w:color w:val="404040" w:themeColor="text1" w:themeTint="BF"/>
    </w:rPr>
  </w:style>
  <w:style w:type="paragraph" w:styleId="ListParagraph">
    <w:name w:val="List Paragraph"/>
    <w:basedOn w:val="Normal"/>
    <w:uiPriority w:val="34"/>
    <w:qFormat/>
    <w:rsid w:val="00555548"/>
    <w:pPr>
      <w:ind w:left="720"/>
      <w:contextualSpacing/>
    </w:pPr>
  </w:style>
  <w:style w:type="character" w:styleId="IntenseEmphasis">
    <w:name w:val="Intense Emphasis"/>
    <w:basedOn w:val="DefaultParagraphFont"/>
    <w:uiPriority w:val="21"/>
    <w:qFormat/>
    <w:rsid w:val="00555548"/>
    <w:rPr>
      <w:i/>
      <w:iCs/>
      <w:color w:val="0F4761" w:themeColor="accent1" w:themeShade="BF"/>
    </w:rPr>
  </w:style>
  <w:style w:type="paragraph" w:styleId="IntenseQuote">
    <w:name w:val="Intense Quote"/>
    <w:basedOn w:val="Normal"/>
    <w:next w:val="Normal"/>
    <w:link w:val="IntenseQuoteChar"/>
    <w:uiPriority w:val="30"/>
    <w:qFormat/>
    <w:rsid w:val="00555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5548"/>
    <w:rPr>
      <w:i/>
      <w:iCs/>
      <w:color w:val="0F4761" w:themeColor="accent1" w:themeShade="BF"/>
    </w:rPr>
  </w:style>
  <w:style w:type="character" w:styleId="IntenseReference">
    <w:name w:val="Intense Reference"/>
    <w:basedOn w:val="DefaultParagraphFont"/>
    <w:uiPriority w:val="32"/>
    <w:qFormat/>
    <w:rsid w:val="00555548"/>
    <w:rPr>
      <w:b/>
      <w:bCs/>
      <w:smallCaps/>
      <w:color w:val="0F4761" w:themeColor="accent1" w:themeShade="BF"/>
      <w:spacing w:val="5"/>
    </w:rPr>
  </w:style>
  <w:style w:type="character" w:styleId="Hyperlink">
    <w:name w:val="Hyperlink"/>
    <w:basedOn w:val="DefaultParagraphFont"/>
    <w:uiPriority w:val="99"/>
    <w:unhideWhenUsed/>
    <w:rsid w:val="00FC1021"/>
    <w:rPr>
      <w:color w:val="467886" w:themeColor="hyperlink"/>
      <w:u w:val="single"/>
    </w:rPr>
  </w:style>
  <w:style w:type="character" w:styleId="UnresolvedMention">
    <w:name w:val="Unresolved Mention"/>
    <w:basedOn w:val="DefaultParagraphFont"/>
    <w:uiPriority w:val="99"/>
    <w:semiHidden/>
    <w:unhideWhenUsed/>
    <w:rsid w:val="00FC1021"/>
    <w:rPr>
      <w:color w:val="605E5C"/>
      <w:shd w:val="clear" w:color="auto" w:fill="E1DFDD"/>
    </w:rPr>
  </w:style>
  <w:style w:type="character" w:styleId="FollowedHyperlink">
    <w:name w:val="FollowedHyperlink"/>
    <w:basedOn w:val="DefaultParagraphFont"/>
    <w:uiPriority w:val="99"/>
    <w:semiHidden/>
    <w:unhideWhenUsed/>
    <w:rsid w:val="00657171"/>
    <w:rPr>
      <w:color w:val="96607D" w:themeColor="followedHyperlink"/>
      <w:u w:val="single"/>
    </w:rPr>
  </w:style>
  <w:style w:type="table" w:styleId="TableGrid">
    <w:name w:val="Table Grid"/>
    <w:basedOn w:val="TableNormal"/>
    <w:uiPriority w:val="39"/>
    <w:rsid w:val="001D4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664374">
      <w:bodyDiv w:val="1"/>
      <w:marLeft w:val="0"/>
      <w:marRight w:val="0"/>
      <w:marTop w:val="0"/>
      <w:marBottom w:val="0"/>
      <w:divBdr>
        <w:top w:val="none" w:sz="0" w:space="0" w:color="auto"/>
        <w:left w:val="none" w:sz="0" w:space="0" w:color="auto"/>
        <w:bottom w:val="none" w:sz="0" w:space="0" w:color="auto"/>
        <w:right w:val="none" w:sz="0" w:space="0" w:color="auto"/>
      </w:divBdr>
    </w:div>
    <w:div w:id="863247296">
      <w:bodyDiv w:val="1"/>
      <w:marLeft w:val="0"/>
      <w:marRight w:val="0"/>
      <w:marTop w:val="0"/>
      <w:marBottom w:val="0"/>
      <w:divBdr>
        <w:top w:val="none" w:sz="0" w:space="0" w:color="auto"/>
        <w:left w:val="none" w:sz="0" w:space="0" w:color="auto"/>
        <w:bottom w:val="none" w:sz="0" w:space="0" w:color="auto"/>
        <w:right w:val="none" w:sz="0" w:space="0" w:color="auto"/>
      </w:divBdr>
    </w:div>
    <w:div w:id="1639191627">
      <w:bodyDiv w:val="1"/>
      <w:marLeft w:val="0"/>
      <w:marRight w:val="0"/>
      <w:marTop w:val="0"/>
      <w:marBottom w:val="0"/>
      <w:divBdr>
        <w:top w:val="none" w:sz="0" w:space="0" w:color="auto"/>
        <w:left w:val="none" w:sz="0" w:space="0" w:color="auto"/>
        <w:bottom w:val="none" w:sz="0" w:space="0" w:color="auto"/>
        <w:right w:val="none" w:sz="0" w:space="0" w:color="auto"/>
      </w:divBdr>
    </w:div>
    <w:div w:id="190710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86225-5BB6-45B7-ABE5-55219F727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4</Pages>
  <Words>2558</Words>
  <Characters>14582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Mohammed</dc:creator>
  <cp:keywords/>
  <dc:description/>
  <cp:lastModifiedBy>Marwan Mohammed</cp:lastModifiedBy>
  <cp:revision>6</cp:revision>
  <dcterms:created xsi:type="dcterms:W3CDTF">2025-06-12T10:24:00Z</dcterms:created>
  <dcterms:modified xsi:type="dcterms:W3CDTF">2025-06-26T09:50:00Z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e83d50e1-9afc-373e-82f0-28a49208cfb2</vt:lpwstr>
  </property>
  <property fmtid="{D5CDD505-2E9C-101B-9397-08002B2CF9AE}" pid="24" name="Mendeley Citation Style_1">
    <vt:lpwstr>http://www.zotero.org/styles/ieee</vt:lpwstr>
  </property>
</Properties>
</file>